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43DB" w:rsidRDefault="00D843DB" w:rsidP="00D843DB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LIGJ</w:t>
      </w:r>
    </w:p>
    <w:p w:rsidR="00D843DB" w:rsidRDefault="00D843DB" w:rsidP="00D843DB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Nr</w:t>
      </w:r>
      <w:proofErr w:type="spellEnd"/>
      <w:r>
        <w:rPr>
          <w:rFonts w:ascii="Verdana" w:hAnsi="Verdana"/>
          <w:color w:val="000000"/>
          <w:sz w:val="17"/>
          <w:szCs w:val="17"/>
        </w:rPr>
        <w:t>. 76/2015</w:t>
      </w:r>
    </w:p>
    <w:p w:rsidR="00D843DB" w:rsidRDefault="00D843DB" w:rsidP="00D843DB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PËR DISA NDRYSHIME DHE SHTESA NË LIGJIN NR. 10 107, DATË 30.3.2009, "PËR KUJDESIN SHËNDETËSOR NË REPUBLIKËN E SHQIPËRISË", TË NDRYSHUAR</w:t>
      </w:r>
    </w:p>
    <w:p w:rsidR="00D843DB" w:rsidRDefault="00D843DB" w:rsidP="00D843DB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mbështetje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neneve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78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83, </w:t>
      </w:r>
      <w:proofErr w:type="spellStart"/>
      <w:r>
        <w:rPr>
          <w:rFonts w:ascii="Verdana" w:hAnsi="Verdana"/>
          <w:color w:val="000000"/>
          <w:sz w:val="17"/>
          <w:szCs w:val="17"/>
        </w:rPr>
        <w:t>pika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1,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Kushtetutës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me </w:t>
      </w:r>
      <w:proofErr w:type="spellStart"/>
      <w:r>
        <w:rPr>
          <w:rFonts w:ascii="Verdana" w:hAnsi="Verdana"/>
          <w:color w:val="000000"/>
          <w:sz w:val="17"/>
          <w:szCs w:val="17"/>
        </w:rPr>
        <w:t>propozimin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Këshillit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Ministrave</w:t>
      </w:r>
      <w:proofErr w:type="spellEnd"/>
      <w:r>
        <w:rPr>
          <w:rFonts w:ascii="Verdana" w:hAnsi="Verdana"/>
          <w:color w:val="000000"/>
          <w:sz w:val="17"/>
          <w:szCs w:val="17"/>
        </w:rPr>
        <w:t>,</w:t>
      </w:r>
    </w:p>
    <w:p w:rsidR="00D843DB" w:rsidRDefault="00D843DB" w:rsidP="00D843DB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KUVENDI</w:t>
      </w:r>
    </w:p>
    <w:p w:rsidR="00D843DB" w:rsidRDefault="00D843DB" w:rsidP="00D843DB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I REPUBLIKËS SË SHQIPËRISË</w:t>
      </w:r>
    </w:p>
    <w:p w:rsidR="00D843DB" w:rsidRDefault="00D843DB" w:rsidP="00D843DB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VENDOSI:</w:t>
      </w:r>
    </w:p>
    <w:p w:rsidR="00D843DB" w:rsidRDefault="00D843DB" w:rsidP="00D843DB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. 10 107, </w:t>
      </w:r>
      <w:proofErr w:type="spellStart"/>
      <w:r>
        <w:rPr>
          <w:rFonts w:ascii="Verdana" w:hAnsi="Verdana"/>
          <w:color w:val="000000"/>
          <w:sz w:val="17"/>
          <w:szCs w:val="17"/>
        </w:rPr>
        <w:t>datë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30.3.2009, "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kujdesin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shëndetësor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Republikën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Shqipërisë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",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ndryshuar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bëhen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ndryshimet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shtesat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poshtë</w:t>
      </w:r>
      <w:proofErr w:type="spellEnd"/>
      <w:r>
        <w:rPr>
          <w:rFonts w:ascii="Verdana" w:hAnsi="Verdana"/>
          <w:color w:val="000000"/>
          <w:sz w:val="17"/>
          <w:szCs w:val="17"/>
        </w:rPr>
        <w:t>:</w:t>
      </w:r>
    </w:p>
    <w:p w:rsidR="00D843DB" w:rsidRDefault="00D843DB" w:rsidP="00D843DB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</w:t>
      </w:r>
    </w:p>
    <w:p w:rsidR="00D843DB" w:rsidRDefault="00D843DB" w:rsidP="00D843DB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Titulli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kreut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VII </w:t>
      </w:r>
      <w:proofErr w:type="spellStart"/>
      <w:r>
        <w:rPr>
          <w:rFonts w:ascii="Verdana" w:hAnsi="Verdana"/>
          <w:color w:val="000000"/>
          <w:sz w:val="17"/>
          <w:szCs w:val="17"/>
        </w:rPr>
        <w:t>ndryshohet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poshtë</w:t>
      </w:r>
      <w:proofErr w:type="spellEnd"/>
      <w:r>
        <w:rPr>
          <w:rFonts w:ascii="Verdana" w:hAnsi="Verdana"/>
          <w:color w:val="000000"/>
          <w:sz w:val="17"/>
          <w:szCs w:val="17"/>
        </w:rPr>
        <w:t>:</w:t>
      </w:r>
    </w:p>
    <w:p w:rsidR="00D843DB" w:rsidRDefault="00D843DB" w:rsidP="00D843DB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"KREU VII PROFESIONISTËT E SHËNDETËSISË DHE EDUKIMI I VAZHDUESHËM PROFESIONAL".</w:t>
      </w:r>
    </w:p>
    <w:p w:rsidR="00D843DB" w:rsidRDefault="00D843DB" w:rsidP="00D843DB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2</w:t>
      </w:r>
    </w:p>
    <w:p w:rsidR="00D843DB" w:rsidRDefault="00D843DB" w:rsidP="00D843DB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nenin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33 </w:t>
      </w:r>
      <w:proofErr w:type="spellStart"/>
      <w:r>
        <w:rPr>
          <w:rFonts w:ascii="Verdana" w:hAnsi="Verdana"/>
          <w:color w:val="000000"/>
          <w:sz w:val="17"/>
          <w:szCs w:val="17"/>
        </w:rPr>
        <w:t>bëhen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këto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ndryshime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shtesa</w:t>
      </w:r>
      <w:proofErr w:type="spellEnd"/>
      <w:r>
        <w:rPr>
          <w:rFonts w:ascii="Verdana" w:hAnsi="Verdana"/>
          <w:color w:val="000000"/>
          <w:sz w:val="17"/>
          <w:szCs w:val="17"/>
        </w:rPr>
        <w:t>:</w:t>
      </w:r>
    </w:p>
    <w:p w:rsidR="00D843DB" w:rsidRDefault="00D843DB" w:rsidP="00D843DB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1. </w:t>
      </w:r>
      <w:proofErr w:type="spellStart"/>
      <w:r>
        <w:rPr>
          <w:rFonts w:ascii="Verdana" w:hAnsi="Verdana"/>
          <w:color w:val="000000"/>
          <w:sz w:val="17"/>
          <w:szCs w:val="17"/>
        </w:rPr>
        <w:t>Pika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gramStart"/>
      <w:r>
        <w:rPr>
          <w:rFonts w:ascii="Verdana" w:hAnsi="Verdana"/>
          <w:color w:val="000000"/>
          <w:sz w:val="17"/>
          <w:szCs w:val="17"/>
        </w:rPr>
        <w:t>1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ndryshohet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poshtë</w:t>
      </w:r>
      <w:proofErr w:type="spellEnd"/>
      <w:r>
        <w:rPr>
          <w:rFonts w:ascii="Verdana" w:hAnsi="Verdana"/>
          <w:color w:val="000000"/>
          <w:sz w:val="17"/>
          <w:szCs w:val="17"/>
        </w:rPr>
        <w:t>:</w:t>
      </w:r>
    </w:p>
    <w:p w:rsidR="00D843DB" w:rsidRDefault="00D843DB" w:rsidP="00D843DB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"1. </w:t>
      </w:r>
      <w:proofErr w:type="spellStart"/>
      <w:r>
        <w:rPr>
          <w:rFonts w:ascii="Verdana" w:hAnsi="Verdana"/>
          <w:color w:val="000000"/>
          <w:sz w:val="17"/>
          <w:szCs w:val="17"/>
        </w:rPr>
        <w:t>Ministria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përgjegjëse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shëndetësinë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krijon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program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detyrueshëm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edukimin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vazhdueshëm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profesional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quajtur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"</w:t>
      </w:r>
      <w:proofErr w:type="spellStart"/>
      <w:r>
        <w:rPr>
          <w:rFonts w:ascii="Verdana" w:hAnsi="Verdana"/>
          <w:color w:val="000000"/>
          <w:sz w:val="17"/>
          <w:szCs w:val="17"/>
        </w:rPr>
        <w:t>Programi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certifikimit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profesionistët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shëndetësisë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". </w:t>
      </w:r>
      <w:proofErr w:type="spellStart"/>
      <w:r>
        <w:rPr>
          <w:rFonts w:ascii="Verdana" w:hAnsi="Verdana"/>
          <w:color w:val="000000"/>
          <w:sz w:val="17"/>
          <w:szCs w:val="17"/>
        </w:rPr>
        <w:t>Programi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certifikimit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është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sistem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bazuar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cikle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periodike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proofErr w:type="gramStart"/>
      <w:r>
        <w:rPr>
          <w:rFonts w:ascii="Verdana" w:hAnsi="Verdana"/>
          <w:color w:val="000000"/>
          <w:sz w:val="17"/>
          <w:szCs w:val="17"/>
        </w:rPr>
        <w:t>brenda</w:t>
      </w:r>
      <w:proofErr w:type="spellEnd"/>
      <w:proofErr w:type="gram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cilave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profesionistët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duhet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mbledhin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një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numër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caktuar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kreditesh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edukimit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vazhdueshëm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profesional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bazuar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procedurat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kriteret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standardet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miratuara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nga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Këshilli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Ministrave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. </w:t>
      </w:r>
      <w:proofErr w:type="spellStart"/>
      <w:r>
        <w:rPr>
          <w:rFonts w:ascii="Verdana" w:hAnsi="Verdana"/>
          <w:color w:val="000000"/>
          <w:sz w:val="17"/>
          <w:szCs w:val="17"/>
        </w:rPr>
        <w:t>Certifikimi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është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procesi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që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profesionisti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shëndetësisë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përfundon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përmbushjen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kritereve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secilit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cikël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programit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certifikimit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lidhet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ecjen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karrierë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profesionistit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shëndetësisë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  <w:proofErr w:type="gramStart"/>
      <w:r>
        <w:rPr>
          <w:rFonts w:ascii="Verdana" w:hAnsi="Verdana"/>
          <w:color w:val="000000"/>
          <w:sz w:val="17"/>
          <w:szCs w:val="17"/>
        </w:rPr>
        <w:t>".</w:t>
      </w:r>
      <w:proofErr w:type="gramEnd"/>
    </w:p>
    <w:p w:rsidR="00D843DB" w:rsidRDefault="00D843DB" w:rsidP="00D843DB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2. </w:t>
      </w:r>
      <w:proofErr w:type="spellStart"/>
      <w:r>
        <w:rPr>
          <w:rFonts w:ascii="Verdana" w:hAnsi="Verdana"/>
          <w:color w:val="000000"/>
          <w:sz w:val="17"/>
          <w:szCs w:val="17"/>
        </w:rPr>
        <w:t>Pika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3 </w:t>
      </w:r>
      <w:proofErr w:type="spellStart"/>
      <w:r>
        <w:rPr>
          <w:rFonts w:ascii="Verdana" w:hAnsi="Verdana"/>
          <w:color w:val="000000"/>
          <w:sz w:val="17"/>
          <w:szCs w:val="17"/>
        </w:rPr>
        <w:t>ndryshohet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poshtë</w:t>
      </w:r>
      <w:proofErr w:type="spellEnd"/>
      <w:r>
        <w:rPr>
          <w:rFonts w:ascii="Verdana" w:hAnsi="Verdana"/>
          <w:color w:val="000000"/>
          <w:sz w:val="17"/>
          <w:szCs w:val="17"/>
        </w:rPr>
        <w:t>:</w:t>
      </w:r>
    </w:p>
    <w:p w:rsidR="00D843DB" w:rsidRDefault="00D843DB" w:rsidP="00D843DB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"3. </w:t>
      </w:r>
      <w:proofErr w:type="spellStart"/>
      <w:r>
        <w:rPr>
          <w:rFonts w:ascii="Verdana" w:hAnsi="Verdana"/>
          <w:color w:val="000000"/>
          <w:sz w:val="17"/>
          <w:szCs w:val="17"/>
        </w:rPr>
        <w:t>Punësimi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ose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kontratat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institucionet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shëndetësore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pezullohen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nëse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profesionisti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shëndetësisë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nuk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merr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asnjë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kredit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edukimit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vazhdueshëm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. </w:t>
      </w:r>
      <w:proofErr w:type="spellStart"/>
      <w:r>
        <w:rPr>
          <w:rFonts w:ascii="Verdana" w:hAnsi="Verdana"/>
          <w:color w:val="000000"/>
          <w:sz w:val="17"/>
          <w:szCs w:val="17"/>
        </w:rPr>
        <w:t>Rifitimi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drejtës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punësim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ose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kontrata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proofErr w:type="gramStart"/>
      <w:r>
        <w:rPr>
          <w:rFonts w:ascii="Verdana" w:hAnsi="Verdana"/>
          <w:color w:val="000000"/>
          <w:sz w:val="17"/>
          <w:szCs w:val="17"/>
        </w:rPr>
        <w:t>institucionet</w:t>
      </w:r>
      <w:proofErr w:type="spellEnd"/>
      <w:proofErr w:type="gram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shëndetësore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bëhet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pasi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profesionisti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t'i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jetë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nënshtruar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provimit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certifikimit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</w:p>
    <w:p w:rsidR="00D843DB" w:rsidRDefault="00D843DB" w:rsidP="00D843DB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Nëse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profesionisti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shëndetësisë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mbledh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kredite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edukimit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vazhdueshëm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por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pak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se </w:t>
      </w:r>
      <w:proofErr w:type="spellStart"/>
      <w:r>
        <w:rPr>
          <w:rFonts w:ascii="Verdana" w:hAnsi="Verdana"/>
          <w:color w:val="000000"/>
          <w:sz w:val="17"/>
          <w:szCs w:val="17"/>
        </w:rPr>
        <w:t>limiti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kërkuar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ai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duhet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t'i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nënshtrohet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provimit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certifikimit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proofErr w:type="gramStart"/>
      <w:r>
        <w:rPr>
          <w:rFonts w:ascii="Verdana" w:hAnsi="Verdana"/>
          <w:color w:val="000000"/>
          <w:sz w:val="17"/>
          <w:szCs w:val="17"/>
        </w:rPr>
        <w:t>brenda</w:t>
      </w:r>
      <w:proofErr w:type="spellEnd"/>
      <w:proofErr w:type="gram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gjashtë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muajve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nga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data e </w:t>
      </w:r>
      <w:proofErr w:type="spellStart"/>
      <w:r>
        <w:rPr>
          <w:rFonts w:ascii="Verdana" w:hAnsi="Verdana"/>
          <w:color w:val="000000"/>
          <w:sz w:val="17"/>
          <w:szCs w:val="17"/>
        </w:rPr>
        <w:t>njoftimit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. </w:t>
      </w:r>
      <w:proofErr w:type="spellStart"/>
      <w:r>
        <w:rPr>
          <w:rFonts w:ascii="Verdana" w:hAnsi="Verdana"/>
          <w:color w:val="000000"/>
          <w:sz w:val="17"/>
          <w:szCs w:val="17"/>
        </w:rPr>
        <w:t>Nëse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dështon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provim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punësimi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ose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kontratat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institucionet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shëndetësore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pezullohen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. </w:t>
      </w:r>
      <w:proofErr w:type="spellStart"/>
      <w:r>
        <w:rPr>
          <w:rFonts w:ascii="Verdana" w:hAnsi="Verdana"/>
          <w:color w:val="000000"/>
          <w:sz w:val="17"/>
          <w:szCs w:val="17"/>
        </w:rPr>
        <w:t>Rifitimi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drejtës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punësim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ose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kontrata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institucionet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shëndetësore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bëhet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pasi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profesionisti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ketë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kaluar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sukses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provimin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certifikimit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</w:p>
    <w:p w:rsidR="00D843DB" w:rsidRDefault="00D843DB" w:rsidP="00D843DB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Institucionet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publike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kujdesit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shëndetësor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janë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detyruara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hartojnë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zbatojnë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programe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edukimit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vazhdueshëm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profesionistët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tyre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  <w:proofErr w:type="gramStart"/>
      <w:r>
        <w:rPr>
          <w:rFonts w:ascii="Verdana" w:hAnsi="Verdana"/>
          <w:color w:val="000000"/>
          <w:sz w:val="17"/>
          <w:szCs w:val="17"/>
        </w:rPr>
        <w:t>".</w:t>
      </w:r>
      <w:proofErr w:type="gramEnd"/>
    </w:p>
    <w:p w:rsidR="00D843DB" w:rsidRDefault="00D843DB" w:rsidP="00D843DB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3</w:t>
      </w:r>
    </w:p>
    <w:p w:rsidR="00D843DB" w:rsidRDefault="00D843DB" w:rsidP="00D843DB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lastRenderedPageBreak/>
        <w:t xml:space="preserve">Pas </w:t>
      </w:r>
      <w:proofErr w:type="spellStart"/>
      <w:r>
        <w:rPr>
          <w:rFonts w:ascii="Verdana" w:hAnsi="Verdana"/>
          <w:color w:val="000000"/>
          <w:sz w:val="17"/>
          <w:szCs w:val="17"/>
        </w:rPr>
        <w:t>nenit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33 </w:t>
      </w:r>
      <w:proofErr w:type="spellStart"/>
      <w:r>
        <w:rPr>
          <w:rFonts w:ascii="Verdana" w:hAnsi="Verdana"/>
          <w:color w:val="000000"/>
          <w:sz w:val="17"/>
          <w:szCs w:val="17"/>
        </w:rPr>
        <w:t>shtohen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nenet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33/1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33/2 me </w:t>
      </w:r>
      <w:proofErr w:type="spellStart"/>
      <w:r>
        <w:rPr>
          <w:rFonts w:ascii="Verdana" w:hAnsi="Verdana"/>
          <w:color w:val="000000"/>
          <w:sz w:val="17"/>
          <w:szCs w:val="17"/>
        </w:rPr>
        <w:t>këtë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përmbajtje</w:t>
      </w:r>
      <w:proofErr w:type="spellEnd"/>
      <w:r>
        <w:rPr>
          <w:rFonts w:ascii="Verdana" w:hAnsi="Verdana"/>
          <w:color w:val="000000"/>
          <w:sz w:val="17"/>
          <w:szCs w:val="17"/>
        </w:rPr>
        <w:t>:</w:t>
      </w:r>
    </w:p>
    <w:p w:rsidR="00D843DB" w:rsidRDefault="00D843DB" w:rsidP="00D843DB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"</w:t>
      </w: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33/1</w:t>
      </w:r>
    </w:p>
    <w:p w:rsidR="00D843DB" w:rsidRDefault="00D843DB" w:rsidP="00D843DB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Sigurimi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cilësisë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aktiviteteve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edukimit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vazhdueshëm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- </w:t>
      </w:r>
      <w:proofErr w:type="spellStart"/>
      <w:r>
        <w:rPr>
          <w:rFonts w:ascii="Verdana" w:hAnsi="Verdana"/>
          <w:color w:val="000000"/>
          <w:sz w:val="17"/>
          <w:szCs w:val="17"/>
        </w:rPr>
        <w:t>akreditimi</w:t>
      </w:r>
      <w:proofErr w:type="spellEnd"/>
    </w:p>
    <w:p w:rsidR="00D843DB" w:rsidRDefault="00D843DB" w:rsidP="00D843DB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1. </w:t>
      </w:r>
      <w:proofErr w:type="spellStart"/>
      <w:r>
        <w:rPr>
          <w:rFonts w:ascii="Verdana" w:hAnsi="Verdana"/>
          <w:color w:val="000000"/>
          <w:sz w:val="17"/>
          <w:szCs w:val="17"/>
        </w:rPr>
        <w:t>Akreditimi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është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procesi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miratimit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aktiviteteve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edukimit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vazhdueshëm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ose</w:t>
      </w:r>
      <w:proofErr w:type="spellEnd"/>
      <w:r>
        <w:rPr>
          <w:rFonts w:ascii="Verdana" w:hAnsi="Verdana"/>
          <w:color w:val="000000"/>
          <w:sz w:val="17"/>
          <w:szCs w:val="17"/>
        </w:rPr>
        <w:t>/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ofruesit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aktiviteteve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edukimit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vazhdueshëm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bazuar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procedurat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standardet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kriteret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miratuara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vendim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Këshillit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Ministrave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</w:p>
    <w:p w:rsidR="00D843DB" w:rsidRDefault="00D843DB" w:rsidP="00D843DB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2. </w:t>
      </w:r>
      <w:proofErr w:type="spellStart"/>
      <w:r>
        <w:rPr>
          <w:rFonts w:ascii="Verdana" w:hAnsi="Verdana"/>
          <w:color w:val="000000"/>
          <w:sz w:val="17"/>
          <w:szCs w:val="17"/>
        </w:rPr>
        <w:t>Ofrues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aktiviteteve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edukimit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vazhdueshëm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janë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gjitha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strukturat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publike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ose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private, </w:t>
      </w:r>
      <w:proofErr w:type="spellStart"/>
      <w:r>
        <w:rPr>
          <w:rFonts w:ascii="Verdana" w:hAnsi="Verdana"/>
          <w:color w:val="000000"/>
          <w:sz w:val="17"/>
          <w:szCs w:val="17"/>
        </w:rPr>
        <w:t>akademike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ose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joakademike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fitimprurëse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ose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jofitimprurëse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huaja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vendit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që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kanë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ekspertizë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eksperiencë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organizimin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aktiviteteve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edukimit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vazhdueshëm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fushën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shëndetësisë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sipas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kritereve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miratuara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</w:p>
    <w:p w:rsidR="00D843DB" w:rsidRDefault="00D843DB" w:rsidP="00D843DB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3. </w:t>
      </w:r>
      <w:proofErr w:type="spellStart"/>
      <w:r>
        <w:rPr>
          <w:rFonts w:ascii="Verdana" w:hAnsi="Verdana"/>
          <w:color w:val="000000"/>
          <w:sz w:val="17"/>
          <w:szCs w:val="17"/>
        </w:rPr>
        <w:t>Ofruesit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aktiviteteve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edukimit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vazhdueshëm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janë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detyruar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sigurojnë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cilësinë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aktiviteteve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që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zhvillojnë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përmes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respektimit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kritereve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cilësisë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akreditimit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standardet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edukimit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vazhdueshëm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profesional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</w:p>
    <w:p w:rsidR="00D843DB" w:rsidRDefault="00D843DB" w:rsidP="00D843DB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4. </w:t>
      </w:r>
      <w:proofErr w:type="spellStart"/>
      <w:r>
        <w:rPr>
          <w:rFonts w:ascii="Verdana" w:hAnsi="Verdana"/>
          <w:color w:val="000000"/>
          <w:sz w:val="17"/>
          <w:szCs w:val="17"/>
        </w:rPr>
        <w:t>Kriteret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standardet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procedurat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akreditimit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aktiviteteve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edukimit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vazhdueshëm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si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ofruesve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aktiviteteve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edukimit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vazhdueshëm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miratohen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vendim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Këshillit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Ministrave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</w:p>
    <w:p w:rsidR="00D843DB" w:rsidRDefault="00D843DB" w:rsidP="00D843DB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33/2</w:t>
      </w:r>
    </w:p>
    <w:p w:rsidR="00D843DB" w:rsidRDefault="00D843DB" w:rsidP="00D843DB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Bordi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Edukimit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Vazhdueshëm</w:t>
      </w:r>
      <w:proofErr w:type="spellEnd"/>
    </w:p>
    <w:p w:rsidR="00D843DB" w:rsidRDefault="00D843DB" w:rsidP="00D843DB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1. </w:t>
      </w:r>
      <w:proofErr w:type="spellStart"/>
      <w:r>
        <w:rPr>
          <w:rFonts w:ascii="Verdana" w:hAnsi="Verdana"/>
          <w:color w:val="000000"/>
          <w:sz w:val="17"/>
          <w:szCs w:val="17"/>
        </w:rPr>
        <w:t>Pranë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ministrisë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përgjegjëse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shëndetësinë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funksionon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Bordi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Edukimit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Vazhdueshëm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cili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kryesohet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nga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ministri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përgjegjës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shëndetësinë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me </w:t>
      </w:r>
      <w:proofErr w:type="spellStart"/>
      <w:r>
        <w:rPr>
          <w:rFonts w:ascii="Verdana" w:hAnsi="Verdana"/>
          <w:color w:val="000000"/>
          <w:sz w:val="17"/>
          <w:szCs w:val="17"/>
        </w:rPr>
        <w:t>këtë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përbërje</w:t>
      </w:r>
      <w:proofErr w:type="spellEnd"/>
      <w:r>
        <w:rPr>
          <w:rFonts w:ascii="Verdana" w:hAnsi="Verdana"/>
          <w:color w:val="000000"/>
          <w:sz w:val="17"/>
          <w:szCs w:val="17"/>
        </w:rPr>
        <w:t>:</w:t>
      </w:r>
    </w:p>
    <w:p w:rsidR="00D843DB" w:rsidRDefault="00D843DB" w:rsidP="00D843DB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a) </w:t>
      </w:r>
      <w:proofErr w:type="spellStart"/>
      <w:proofErr w:type="gramStart"/>
      <w:r>
        <w:rPr>
          <w:rFonts w:ascii="Verdana" w:hAnsi="Verdana"/>
          <w:color w:val="000000"/>
          <w:sz w:val="17"/>
          <w:szCs w:val="17"/>
        </w:rPr>
        <w:t>përfaqësues</w:t>
      </w:r>
      <w:proofErr w:type="spellEnd"/>
      <w:proofErr w:type="gram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nga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Qendra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Kombëtare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Edukimit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Vazhdim</w:t>
      </w:r>
      <w:proofErr w:type="spellEnd"/>
      <w:r>
        <w:rPr>
          <w:rFonts w:ascii="Verdana" w:hAnsi="Verdana"/>
          <w:color w:val="000000"/>
          <w:sz w:val="17"/>
          <w:szCs w:val="17"/>
        </w:rPr>
        <w:t>;</w:t>
      </w:r>
    </w:p>
    <w:p w:rsidR="00D843DB" w:rsidRDefault="00D843DB" w:rsidP="00D843DB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b) </w:t>
      </w:r>
      <w:proofErr w:type="spellStart"/>
      <w:proofErr w:type="gramStart"/>
      <w:r>
        <w:rPr>
          <w:rFonts w:ascii="Verdana" w:hAnsi="Verdana"/>
          <w:color w:val="000000"/>
          <w:sz w:val="17"/>
          <w:szCs w:val="17"/>
        </w:rPr>
        <w:t>përfaqësues</w:t>
      </w:r>
      <w:proofErr w:type="spellEnd"/>
      <w:proofErr w:type="gram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nga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Fondit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Sigurimit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Detyrueshëm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Kujdesit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Shëndetësor</w:t>
      </w:r>
      <w:proofErr w:type="spellEnd"/>
      <w:r>
        <w:rPr>
          <w:rFonts w:ascii="Verdana" w:hAnsi="Verdana"/>
          <w:color w:val="000000"/>
          <w:sz w:val="17"/>
          <w:szCs w:val="17"/>
        </w:rPr>
        <w:t>;</w:t>
      </w:r>
    </w:p>
    <w:p w:rsidR="00D843DB" w:rsidRDefault="00D843DB" w:rsidP="00D843DB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c) </w:t>
      </w:r>
      <w:proofErr w:type="spellStart"/>
      <w:proofErr w:type="gramStart"/>
      <w:r>
        <w:rPr>
          <w:rFonts w:ascii="Verdana" w:hAnsi="Verdana"/>
          <w:color w:val="000000"/>
          <w:sz w:val="17"/>
          <w:szCs w:val="17"/>
        </w:rPr>
        <w:t>përfaqësues</w:t>
      </w:r>
      <w:proofErr w:type="spellEnd"/>
      <w:proofErr w:type="gram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nga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ministria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përgjegjëse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arsimin</w:t>
      </w:r>
      <w:proofErr w:type="spellEnd"/>
      <w:r>
        <w:rPr>
          <w:rFonts w:ascii="Verdana" w:hAnsi="Verdana"/>
          <w:color w:val="000000"/>
          <w:sz w:val="17"/>
          <w:szCs w:val="17"/>
        </w:rPr>
        <w:t>;</w:t>
      </w:r>
    </w:p>
    <w:p w:rsidR="00D843DB" w:rsidRDefault="00D843DB" w:rsidP="00D843DB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ç) </w:t>
      </w:r>
      <w:proofErr w:type="spellStart"/>
      <w:proofErr w:type="gramStart"/>
      <w:r>
        <w:rPr>
          <w:rFonts w:ascii="Verdana" w:hAnsi="Verdana"/>
          <w:color w:val="000000"/>
          <w:sz w:val="17"/>
          <w:szCs w:val="17"/>
        </w:rPr>
        <w:t>përfaqësues</w:t>
      </w:r>
      <w:proofErr w:type="spellEnd"/>
      <w:proofErr w:type="gram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nga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Qendra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Kombëtare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Cilësisë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Sigurisë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Akreditimit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Institucioneve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Shëndetësore</w:t>
      </w:r>
      <w:proofErr w:type="spellEnd"/>
      <w:r>
        <w:rPr>
          <w:rFonts w:ascii="Verdana" w:hAnsi="Verdana"/>
          <w:color w:val="000000"/>
          <w:sz w:val="17"/>
          <w:szCs w:val="17"/>
        </w:rPr>
        <w:t>;</w:t>
      </w:r>
    </w:p>
    <w:p w:rsidR="00D843DB" w:rsidRDefault="00D843DB" w:rsidP="00D843DB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d) </w:t>
      </w:r>
      <w:proofErr w:type="spellStart"/>
      <w:proofErr w:type="gramStart"/>
      <w:r>
        <w:rPr>
          <w:rFonts w:ascii="Verdana" w:hAnsi="Verdana"/>
          <w:color w:val="000000"/>
          <w:sz w:val="17"/>
          <w:szCs w:val="17"/>
        </w:rPr>
        <w:t>përfaqësues</w:t>
      </w:r>
      <w:proofErr w:type="spellEnd"/>
      <w:proofErr w:type="gram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nga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Urdhri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Mjekëve</w:t>
      </w:r>
      <w:proofErr w:type="spellEnd"/>
      <w:r>
        <w:rPr>
          <w:rFonts w:ascii="Verdana" w:hAnsi="Verdana"/>
          <w:color w:val="000000"/>
          <w:sz w:val="17"/>
          <w:szCs w:val="17"/>
        </w:rPr>
        <w:t>;</w:t>
      </w:r>
    </w:p>
    <w:p w:rsidR="00D843DB" w:rsidRDefault="00D843DB" w:rsidP="00D843DB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dh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) </w:t>
      </w:r>
      <w:proofErr w:type="spellStart"/>
      <w:r>
        <w:rPr>
          <w:rFonts w:ascii="Verdana" w:hAnsi="Verdana"/>
          <w:color w:val="000000"/>
          <w:sz w:val="17"/>
          <w:szCs w:val="17"/>
        </w:rPr>
        <w:t>përfaqësues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nga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Urdhri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Infermierit</w:t>
      </w:r>
      <w:proofErr w:type="spellEnd"/>
      <w:r>
        <w:rPr>
          <w:rFonts w:ascii="Verdana" w:hAnsi="Verdana"/>
          <w:color w:val="000000"/>
          <w:sz w:val="17"/>
          <w:szCs w:val="17"/>
        </w:rPr>
        <w:t>;</w:t>
      </w:r>
    </w:p>
    <w:p w:rsidR="00D843DB" w:rsidRDefault="00D843DB" w:rsidP="00D843DB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e) </w:t>
      </w:r>
      <w:proofErr w:type="spellStart"/>
      <w:proofErr w:type="gramStart"/>
      <w:r>
        <w:rPr>
          <w:rFonts w:ascii="Verdana" w:hAnsi="Verdana"/>
          <w:color w:val="000000"/>
          <w:sz w:val="17"/>
          <w:szCs w:val="17"/>
        </w:rPr>
        <w:t>përfaqësues</w:t>
      </w:r>
      <w:proofErr w:type="spellEnd"/>
      <w:proofErr w:type="gram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nga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Urdhri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Farmacistëve</w:t>
      </w:r>
      <w:proofErr w:type="spellEnd"/>
      <w:r>
        <w:rPr>
          <w:rFonts w:ascii="Verdana" w:hAnsi="Verdana"/>
          <w:color w:val="000000"/>
          <w:sz w:val="17"/>
          <w:szCs w:val="17"/>
        </w:rPr>
        <w:t>;</w:t>
      </w:r>
    </w:p>
    <w:p w:rsidR="00D843DB" w:rsidRDefault="00D843DB" w:rsidP="00D843DB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ë) </w:t>
      </w:r>
      <w:proofErr w:type="spellStart"/>
      <w:proofErr w:type="gramStart"/>
      <w:r>
        <w:rPr>
          <w:rFonts w:ascii="Verdana" w:hAnsi="Verdana"/>
          <w:color w:val="000000"/>
          <w:sz w:val="17"/>
          <w:szCs w:val="17"/>
        </w:rPr>
        <w:t>përfaqësues</w:t>
      </w:r>
      <w:proofErr w:type="spellEnd"/>
      <w:proofErr w:type="gram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nga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Urdhri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Stomatologut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. </w:t>
      </w:r>
      <w:proofErr w:type="spellStart"/>
      <w:r>
        <w:rPr>
          <w:rFonts w:ascii="Verdana" w:hAnsi="Verdana"/>
          <w:color w:val="000000"/>
          <w:sz w:val="17"/>
          <w:szCs w:val="17"/>
        </w:rPr>
        <w:t>Bordi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Edukimit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Vazhdueshëm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është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organi</w:t>
      </w:r>
      <w:proofErr w:type="spellEnd"/>
    </w:p>
    <w:p w:rsidR="00D843DB" w:rsidRDefault="00D843DB" w:rsidP="00D843DB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proofErr w:type="gramStart"/>
      <w:r>
        <w:rPr>
          <w:rFonts w:ascii="Verdana" w:hAnsi="Verdana"/>
          <w:color w:val="000000"/>
          <w:sz w:val="17"/>
          <w:szCs w:val="17"/>
        </w:rPr>
        <w:t>më</w:t>
      </w:r>
      <w:proofErr w:type="spellEnd"/>
      <w:proofErr w:type="gram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lartë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vendimmarrës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sistemin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certifikimit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ricertifikimit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profesionistëve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shëndetësisë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akreditimit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aktiviteteve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edukimit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vazhdueshëm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. </w:t>
      </w:r>
      <w:proofErr w:type="spellStart"/>
      <w:r>
        <w:rPr>
          <w:rFonts w:ascii="Verdana" w:hAnsi="Verdana"/>
          <w:color w:val="000000"/>
          <w:sz w:val="17"/>
          <w:szCs w:val="17"/>
        </w:rPr>
        <w:t>Bordi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Edukimit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Vazhdueshëm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mblidhet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gramStart"/>
      <w:r>
        <w:rPr>
          <w:rFonts w:ascii="Verdana" w:hAnsi="Verdana"/>
          <w:color w:val="000000"/>
          <w:sz w:val="17"/>
          <w:szCs w:val="17"/>
        </w:rPr>
        <w:t>jo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pak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se </w:t>
      </w:r>
      <w:proofErr w:type="spellStart"/>
      <w:r>
        <w:rPr>
          <w:rFonts w:ascii="Verdana" w:hAnsi="Verdana"/>
          <w:color w:val="000000"/>
          <w:sz w:val="17"/>
          <w:szCs w:val="17"/>
        </w:rPr>
        <w:t>katër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herë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raste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veçanta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kur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është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nevojshme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kryetari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mund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ta </w:t>
      </w:r>
      <w:proofErr w:type="spellStart"/>
      <w:r>
        <w:rPr>
          <w:rFonts w:ascii="Verdana" w:hAnsi="Verdana"/>
          <w:color w:val="000000"/>
          <w:sz w:val="17"/>
          <w:szCs w:val="17"/>
        </w:rPr>
        <w:t>mbledhë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atë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edhe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shpesh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. </w:t>
      </w:r>
      <w:proofErr w:type="spellStart"/>
      <w:r>
        <w:rPr>
          <w:rFonts w:ascii="Verdana" w:hAnsi="Verdana"/>
          <w:color w:val="000000"/>
          <w:sz w:val="17"/>
          <w:szCs w:val="17"/>
        </w:rPr>
        <w:t>Mbledhjet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bordit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janë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vlefshme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kur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to </w:t>
      </w:r>
      <w:proofErr w:type="spellStart"/>
      <w:r>
        <w:rPr>
          <w:rFonts w:ascii="Verdana" w:hAnsi="Verdana"/>
          <w:color w:val="000000"/>
          <w:sz w:val="17"/>
          <w:szCs w:val="17"/>
        </w:rPr>
        <w:t>marrin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pjesë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shumë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se </w:t>
      </w:r>
      <w:proofErr w:type="spellStart"/>
      <w:r>
        <w:rPr>
          <w:rFonts w:ascii="Verdana" w:hAnsi="Verdana"/>
          <w:color w:val="000000"/>
          <w:sz w:val="17"/>
          <w:szCs w:val="17"/>
        </w:rPr>
        <w:t>gjysma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anëtarëve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. </w:t>
      </w:r>
      <w:proofErr w:type="spellStart"/>
      <w:r>
        <w:rPr>
          <w:rFonts w:ascii="Verdana" w:hAnsi="Verdana"/>
          <w:color w:val="000000"/>
          <w:sz w:val="17"/>
          <w:szCs w:val="17"/>
        </w:rPr>
        <w:t>Vendimmarrja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Bordin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Edukimit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Vazhdueshëm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bëhet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shumicë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thjeshtë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</w:p>
    <w:p w:rsidR="00D843DB" w:rsidRDefault="00D843DB" w:rsidP="00D843DB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2. </w:t>
      </w:r>
      <w:proofErr w:type="spellStart"/>
      <w:r>
        <w:rPr>
          <w:rFonts w:ascii="Verdana" w:hAnsi="Verdana"/>
          <w:color w:val="000000"/>
          <w:sz w:val="17"/>
          <w:szCs w:val="17"/>
        </w:rPr>
        <w:t>Bordi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Edukimit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Vazhdueshëm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kryen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këto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funksione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kryesore</w:t>
      </w:r>
      <w:proofErr w:type="spellEnd"/>
      <w:r>
        <w:rPr>
          <w:rFonts w:ascii="Verdana" w:hAnsi="Verdana"/>
          <w:color w:val="000000"/>
          <w:sz w:val="17"/>
          <w:szCs w:val="17"/>
        </w:rPr>
        <w:t>:</w:t>
      </w:r>
    </w:p>
    <w:p w:rsidR="00D843DB" w:rsidRDefault="00D843DB" w:rsidP="00D843DB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lastRenderedPageBreak/>
        <w:t xml:space="preserve">a) </w:t>
      </w:r>
      <w:proofErr w:type="spellStart"/>
      <w:proofErr w:type="gramStart"/>
      <w:r>
        <w:rPr>
          <w:rFonts w:ascii="Verdana" w:hAnsi="Verdana"/>
          <w:color w:val="000000"/>
          <w:sz w:val="17"/>
          <w:szCs w:val="17"/>
        </w:rPr>
        <w:t>harton</w:t>
      </w:r>
      <w:proofErr w:type="spellEnd"/>
      <w:proofErr w:type="gram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kriteret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standardet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procedurat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akreditimit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aktiviteteve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edukimit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vazhdueshëm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ofruesve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aktiviteteve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edukimit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vazhdueshëm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si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kriteret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procedurat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procesit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certifik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>/</w:t>
      </w:r>
      <w:proofErr w:type="spellStart"/>
      <w:r>
        <w:rPr>
          <w:rFonts w:ascii="Verdana" w:hAnsi="Verdana"/>
          <w:color w:val="000000"/>
          <w:sz w:val="17"/>
          <w:szCs w:val="17"/>
        </w:rPr>
        <w:t>ose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ricertifikimit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profesionistëve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shëndetësisë</w:t>
      </w:r>
      <w:proofErr w:type="spellEnd"/>
      <w:r>
        <w:rPr>
          <w:rFonts w:ascii="Verdana" w:hAnsi="Verdana"/>
          <w:color w:val="000000"/>
          <w:sz w:val="17"/>
          <w:szCs w:val="17"/>
        </w:rPr>
        <w:t>;</w:t>
      </w:r>
    </w:p>
    <w:p w:rsidR="00D843DB" w:rsidRDefault="00D843DB" w:rsidP="00D843DB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b) </w:t>
      </w:r>
      <w:proofErr w:type="spellStart"/>
      <w:proofErr w:type="gramStart"/>
      <w:r>
        <w:rPr>
          <w:rFonts w:ascii="Verdana" w:hAnsi="Verdana"/>
          <w:color w:val="000000"/>
          <w:sz w:val="17"/>
          <w:szCs w:val="17"/>
        </w:rPr>
        <w:t>miraton</w:t>
      </w:r>
      <w:proofErr w:type="spellEnd"/>
      <w:proofErr w:type="gram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tarifat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akreditimit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aktiviteteve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edukimit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vazhdueshëm</w:t>
      </w:r>
      <w:proofErr w:type="spellEnd"/>
      <w:r>
        <w:rPr>
          <w:rFonts w:ascii="Verdana" w:hAnsi="Verdana"/>
          <w:color w:val="000000"/>
          <w:sz w:val="17"/>
          <w:szCs w:val="17"/>
        </w:rPr>
        <w:t>;</w:t>
      </w:r>
    </w:p>
    <w:p w:rsidR="00D843DB" w:rsidRDefault="00D843DB" w:rsidP="00D843DB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c) </w:t>
      </w:r>
      <w:proofErr w:type="spellStart"/>
      <w:proofErr w:type="gramStart"/>
      <w:r>
        <w:rPr>
          <w:rFonts w:ascii="Verdana" w:hAnsi="Verdana"/>
          <w:color w:val="000000"/>
          <w:sz w:val="17"/>
          <w:szCs w:val="17"/>
        </w:rPr>
        <w:t>miraton</w:t>
      </w:r>
      <w:proofErr w:type="spellEnd"/>
      <w:proofErr w:type="gram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listën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ekspertëve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pavarur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secilën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fushë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ekspertize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cilët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do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përfshihen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vlerësimin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jashtëm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aktiviteteve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si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pjesë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procesit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akreditimit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masën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pagesës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tyre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sipas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legjislacionit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fuqi</w:t>
      </w:r>
      <w:proofErr w:type="spellEnd"/>
      <w:r>
        <w:rPr>
          <w:rFonts w:ascii="Verdana" w:hAnsi="Verdana"/>
          <w:color w:val="000000"/>
          <w:sz w:val="17"/>
          <w:szCs w:val="17"/>
        </w:rPr>
        <w:t>;</w:t>
      </w:r>
    </w:p>
    <w:p w:rsidR="00D843DB" w:rsidRDefault="00D843DB" w:rsidP="00D843DB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ç) </w:t>
      </w:r>
      <w:proofErr w:type="spellStart"/>
      <w:proofErr w:type="gramStart"/>
      <w:r>
        <w:rPr>
          <w:rFonts w:ascii="Verdana" w:hAnsi="Verdana"/>
          <w:color w:val="000000"/>
          <w:sz w:val="17"/>
          <w:szCs w:val="17"/>
        </w:rPr>
        <w:t>shqyrton</w:t>
      </w:r>
      <w:proofErr w:type="spellEnd"/>
      <w:proofErr w:type="gram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ankesat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bëra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nga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profesionistët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shëndetësisë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procedurat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njohjes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regjistrimit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krediteve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përkatëse</w:t>
      </w:r>
      <w:proofErr w:type="spellEnd"/>
      <w:r>
        <w:rPr>
          <w:rFonts w:ascii="Verdana" w:hAnsi="Verdana"/>
          <w:color w:val="000000"/>
          <w:sz w:val="17"/>
          <w:szCs w:val="17"/>
        </w:rPr>
        <w:t>;</w:t>
      </w:r>
    </w:p>
    <w:p w:rsidR="00D843DB" w:rsidRDefault="00D843DB" w:rsidP="00D843DB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d) </w:t>
      </w:r>
      <w:proofErr w:type="spellStart"/>
      <w:proofErr w:type="gramStart"/>
      <w:r>
        <w:rPr>
          <w:rFonts w:ascii="Verdana" w:hAnsi="Verdana"/>
          <w:color w:val="000000"/>
          <w:sz w:val="17"/>
          <w:szCs w:val="17"/>
        </w:rPr>
        <w:t>shqyrton</w:t>
      </w:r>
      <w:proofErr w:type="spellEnd"/>
      <w:proofErr w:type="gram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ankesat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bëra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nga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ofruesit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aktiviteteve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edukimit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vazhdueshëm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procesin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vlerësimit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jashtëm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cilat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nuk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janë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zgjidhur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nga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Qendra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Kombëtare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Edukimit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Vazhdim</w:t>
      </w:r>
      <w:proofErr w:type="spellEnd"/>
      <w:r>
        <w:rPr>
          <w:rFonts w:ascii="Verdana" w:hAnsi="Verdana"/>
          <w:color w:val="000000"/>
          <w:sz w:val="17"/>
          <w:szCs w:val="17"/>
        </w:rPr>
        <w:t>;</w:t>
      </w:r>
    </w:p>
    <w:p w:rsidR="00D843DB" w:rsidRDefault="00D843DB" w:rsidP="00D843DB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gramStart"/>
      <w:r>
        <w:rPr>
          <w:rFonts w:ascii="Verdana" w:hAnsi="Verdana"/>
          <w:color w:val="000000"/>
          <w:sz w:val="17"/>
          <w:szCs w:val="17"/>
        </w:rPr>
        <w:t>dh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) </w:t>
      </w:r>
      <w:proofErr w:type="spellStart"/>
      <w:r>
        <w:rPr>
          <w:rFonts w:ascii="Verdana" w:hAnsi="Verdana"/>
          <w:color w:val="000000"/>
          <w:sz w:val="17"/>
          <w:szCs w:val="17"/>
        </w:rPr>
        <w:t>ndërmerr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masat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nevojshme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realizimin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provimit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ricertifikimit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gjithë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profesionistët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shëndetësisë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që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nuk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përmbushin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kërkesat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programit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certifikimit</w:t>
      </w:r>
      <w:proofErr w:type="spellEnd"/>
      <w:r>
        <w:rPr>
          <w:rFonts w:ascii="Verdana" w:hAnsi="Verdana"/>
          <w:color w:val="000000"/>
          <w:sz w:val="17"/>
          <w:szCs w:val="17"/>
        </w:rPr>
        <w:t>;</w:t>
      </w:r>
    </w:p>
    <w:p w:rsidR="00D843DB" w:rsidRDefault="00D843DB" w:rsidP="00D843DB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e) </w:t>
      </w:r>
      <w:proofErr w:type="spellStart"/>
      <w:proofErr w:type="gramStart"/>
      <w:r>
        <w:rPr>
          <w:rFonts w:ascii="Verdana" w:hAnsi="Verdana"/>
          <w:color w:val="000000"/>
          <w:sz w:val="17"/>
          <w:szCs w:val="17"/>
        </w:rPr>
        <w:t>monitoron</w:t>
      </w:r>
      <w:proofErr w:type="spellEnd"/>
      <w:proofErr w:type="gram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zbatimin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programit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certifikimit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siguruar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përmbushjen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detyrave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institucioneve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përgjegjëse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</w:p>
    <w:p w:rsidR="00D843DB" w:rsidRDefault="00D843DB" w:rsidP="00D843DB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3. </w:t>
      </w:r>
      <w:proofErr w:type="spellStart"/>
      <w:r>
        <w:rPr>
          <w:rFonts w:ascii="Verdana" w:hAnsi="Verdana"/>
          <w:color w:val="000000"/>
          <w:sz w:val="17"/>
          <w:szCs w:val="17"/>
        </w:rPr>
        <w:t>Anëtarët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Bordit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Edukimit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Vazhdueshëm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shpërblehen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sipas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legjislacionit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fuqi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shpërblimin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anëtarëve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bordeve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këshillave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ose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komisioneve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  <w:proofErr w:type="gramStart"/>
      <w:r>
        <w:rPr>
          <w:rFonts w:ascii="Verdana" w:hAnsi="Verdana"/>
          <w:color w:val="000000"/>
          <w:sz w:val="17"/>
          <w:szCs w:val="17"/>
        </w:rPr>
        <w:t>".</w:t>
      </w:r>
      <w:proofErr w:type="gramEnd"/>
    </w:p>
    <w:p w:rsidR="00D843DB" w:rsidRDefault="00D843DB" w:rsidP="00D843DB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4</w:t>
      </w:r>
    </w:p>
    <w:p w:rsidR="00D843DB" w:rsidRDefault="00D843DB" w:rsidP="00D843DB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proofErr w:type="gramStart"/>
      <w:r>
        <w:rPr>
          <w:rFonts w:ascii="Verdana" w:hAnsi="Verdana"/>
          <w:color w:val="000000"/>
          <w:sz w:val="17"/>
          <w:szCs w:val="17"/>
        </w:rPr>
        <w:t>Ky</w:t>
      </w:r>
      <w:proofErr w:type="spellEnd"/>
      <w:proofErr w:type="gram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hyn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fuqi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15 </w:t>
      </w:r>
      <w:proofErr w:type="spellStart"/>
      <w:r>
        <w:rPr>
          <w:rFonts w:ascii="Verdana" w:hAnsi="Verdana"/>
          <w:color w:val="000000"/>
          <w:sz w:val="17"/>
          <w:szCs w:val="17"/>
        </w:rPr>
        <w:t>ditë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pas </w:t>
      </w:r>
      <w:proofErr w:type="spellStart"/>
      <w:r>
        <w:rPr>
          <w:rFonts w:ascii="Verdana" w:hAnsi="Verdana"/>
          <w:color w:val="000000"/>
          <w:sz w:val="17"/>
          <w:szCs w:val="17"/>
        </w:rPr>
        <w:t>botimit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Fletoren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Zyrtare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</w:p>
    <w:p w:rsidR="00D843DB" w:rsidRDefault="00D843DB" w:rsidP="00D843DB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Miratuar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datën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16.7.2015</w:t>
      </w:r>
    </w:p>
    <w:p w:rsidR="00D843DB" w:rsidRDefault="00D843DB" w:rsidP="00D843DB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Shpallur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dekretin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. 9188, </w:t>
      </w:r>
      <w:proofErr w:type="spellStart"/>
      <w:r>
        <w:rPr>
          <w:rFonts w:ascii="Verdana" w:hAnsi="Verdana"/>
          <w:color w:val="000000"/>
          <w:sz w:val="17"/>
          <w:szCs w:val="17"/>
        </w:rPr>
        <w:t>datë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27.7.2015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Presidentit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Republikës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Shqipërisë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Bujar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Nishani</w:t>
      </w:r>
      <w:proofErr w:type="spellEnd"/>
    </w:p>
    <w:p w:rsidR="00BF1FC9" w:rsidRDefault="00BF1FC9">
      <w:bookmarkStart w:id="0" w:name="_GoBack"/>
      <w:bookmarkEnd w:id="0"/>
    </w:p>
    <w:sectPr w:rsidR="00BF1F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3DB"/>
    <w:rsid w:val="00BF1FC9"/>
    <w:rsid w:val="00D84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C274E7-6888-47AC-9389-493731AD8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843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0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938</Words>
  <Characters>5351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2020-05-22T07:08:00Z</dcterms:created>
  <dcterms:modified xsi:type="dcterms:W3CDTF">2020-05-22T07:09:00Z</dcterms:modified>
</cp:coreProperties>
</file>