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C12" w:rsidRPr="00C44471" w:rsidRDefault="00C96C12" w:rsidP="00C96C12">
      <w:pPr>
        <w:pStyle w:val="NormalWeb"/>
        <w:rPr>
          <w:rFonts w:ascii="Verdana" w:hAnsi="Verdana"/>
          <w:b/>
          <w:color w:val="000000"/>
          <w:sz w:val="22"/>
          <w:szCs w:val="22"/>
        </w:rPr>
      </w:pPr>
      <w:r w:rsidRPr="00C44471">
        <w:rPr>
          <w:rFonts w:ascii="Verdana" w:hAnsi="Verdana"/>
          <w:b/>
          <w:color w:val="000000"/>
          <w:sz w:val="22"/>
          <w:szCs w:val="22"/>
        </w:rPr>
        <w:t>VENDIM</w:t>
      </w:r>
    </w:p>
    <w:p w:rsidR="00C96C12" w:rsidRPr="00C44471" w:rsidRDefault="00C96C12" w:rsidP="00C96C12">
      <w:pPr>
        <w:pStyle w:val="NormalWeb"/>
        <w:rPr>
          <w:rFonts w:ascii="Verdana" w:hAnsi="Verdana"/>
          <w:b/>
          <w:color w:val="000000"/>
          <w:sz w:val="22"/>
          <w:szCs w:val="22"/>
        </w:rPr>
      </w:pPr>
      <w:r w:rsidRPr="00C44471">
        <w:rPr>
          <w:rFonts w:ascii="Verdana" w:hAnsi="Verdana"/>
          <w:b/>
          <w:color w:val="000000"/>
          <w:sz w:val="22"/>
          <w:szCs w:val="22"/>
        </w:rPr>
        <w:t>Nr. 241, datë 27.3.2013</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PËR ORGANIZIMIN DHE FUNKSIONIMIN E INSPEKTORATIT SHTETËROR SHËNDETËSOR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Në mbështetje të nenit 100 të Kushtetutës dhe të neneve 11, 51 pika 3 dhe 56 të ligjit nr. 10 433, datë 16.6.2011 "Për inspektimin në Republikën e Shqipërisë", me propozimin e Ministrit të Shëndetësisë, Këshilli i Ministrave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VENDOSI:</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I. KRIJIMI I INSPEKTORATIT SHTETËROR SHËNDETËSOR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Krijohet Inspektorati Shtetëror Shëndetësor, më tej në tekstin e këtij vendimi "ISHSH", si institucion qendror, buxhetor, në varësi të ministrit përgjegjës për shëndetësinë.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II. MISIONI DHE FUNKSIONET E ISHSH-së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 ISHSH-ja ka për mision garantimin e respektimit të kërkesave ligjore në fushën e shëndetit publik.</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2. ISHSH-ja është përgjegjëse për të gjitha funksionet e inspektimit të ministrisë përgjegjëse për shëndetësinë, me përjashtim të inspektimit të veprimtarive në fushën farmaceutike, i cili kryhet nga struktura përgjegjëse sipas legjislacionit në fuqi.</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III. ORGANIZIMI DHE FUNKSIONIMI I ISHSH-së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 ISHSH-ja organizohet në dy nivele: në nivel qendror dhe atë rajonal, për çdo qark të vendit.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2. Në ISHSH-në në nivel rajonal mund të krijohen zyra vendore, të organizuara si sektorë dhe që ushtrojnë veprimtarinë e tyre në një territor të kufizuar administrativ, më të vogël se ai i qarkut.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3. ISHSH-ja drejtohet nga kryeinspektori. Kryeinspektori është titullari i institucionit, i cili, në kuadër të funksioneve dhe detyrave të Inspektoratit Shtetëror Shëndetësor, ushtron këto kompetenca:</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a) Përfaqëson ISHSH-në në marrëdhënie më të tretët dhe është përgjegjës për organizimin dhe koordinimin e funksionimit, si dhe për cilësinë dhe efektivitetin e veprimtarisë së ISHSH-së.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lastRenderedPageBreak/>
        <w:t>b) Emëron dhe liron nga detyra personelin e ISHSH-së, sipas procedurave të legjislacionit në fuqi.</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c) Zbaton dhe administron buxhetin e miratuar të ISHSH-së, në përputhje me legjislacionin në fuqi dhe përgatit projektbuxhetin për vitin e ardhshëm, të cilin ia përcjell ministrit përgjegjës për shëndetësinë.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ç) Nxjerr urdhra dhe udhëzime për veprimtarinë e strukturave të ISHSH-së, në nivel qendror dhe rajonal, në fushën e inspektimit shëndetësor.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d) Bashkërendon veprimtarinë e ISHSH-së me organet qendrore dhe organet e tjera shtetërore në fushën e inspektimit shëndetësor.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dh) Siguron kontakte me organe homologe dhe organizata të ndryshme, për çështje që lidhen me mirëfunksionimin e ISHSH-së.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e) Zbaton aktet ligjore e nënligjore që rregullojnë veprimtarinë në fushën e inspektimit shëndetësor dhe siguron zbatimin e kontrollin e zbatimit të tyre nga strukturat inspektuese.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4. Kryeinspektori i ISHSH-së i raporton drejtpërdrejt ministrit përgjegjës për shëndetësinë, përveç rasteve kur ministri ka përcaktuar shprehimisht, me urdhër, një njësi tjetër raportimi në aparatin e ministrisë përgjegjëse për shëndetësinë.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5. ISHSH-ja në nivel qendror ka këto funksione: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a) planifikon dhe bashkërendon veprimtarinë e inspektimit;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b) siguron unifikimin e praktikave të inspektimit, në shkallë vendi;</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c) bashkërendon veprimtarinë e laboratorëve dhe siguron kryerjen e analizave nga laboratorë të akredituar.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ç) informon publikun për veprimtarinë e inspektimit;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d) jep mbështetje teknike dhe administrative për veprimtarinë e inspektimit;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dh) përgatit programin dhe raportin vjetor të inspektimit.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e) kryen drejtpërdrejt inspektime ndaj subjekteve të mëdha të inspektimit që kryejnë veprimtari me rrezik të lartë.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6. Përcaktimi i subjekteve të parashikuara në shkronjën "e" të pikës 8 të këtij vendimi, bëhet nga kryeinspektori, pas miratimit paraprak të inspektorit të Përgjithshëm të Inspektoratit Qendror.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lastRenderedPageBreak/>
        <w:t>7. Përveç sa parashikohet në pikën 8 të këtij vendimi, ISHSH-ja në nivel qendror është përgjegjëse, për të gjithë institucionin, duke përfshirë edhe degët në nivel rajonal, për: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a) menaxhimin e burimeve njerëzore, çështjet ligjore, teknologjinë e informacionit, mirëmbajtjen dhe shërbimet e tjera mbështetëse;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b) përgatitjen dhe zbatimin e buxhetit, mbajtjen e kontabilitetit dhe kryerjen e auditimit të brendshëm.</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8. Pranë ISHSH-së në nivel qendror, krijohet Komisioni i Ankimit, i cili drejtohet nga kryeinspektori dhe ka në përbërje: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a) një përfaqësues që mbulon çështjet juridike;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b) një përfaqësues që mbulon çështjet e metodologjisë së inspektimit;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c) dy specialistë të tjerë të ISHSH-së në nivel qendror.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9. Lista emërore e Komisionit të Ankimit miratohet me urdhër të kryeinspektorit të ISHSH-së dhe bëhet publike.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10. Degët rajonale të ISHSH-së ushtrojnë veprimtarinë e tyre në territorin e qarkut përkatës dhe janë përgjegjëse për inspektimin. Me urdhër të kryeinspektorit të ISHSH-së, inspektorët e një dege rajonale mund të ushtrojnë veprimtarinë e tyre edhe në territorin e një qarku tjetër, në bashkëpunim me degën rajonale përkatëse.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11. Në degët rajonale që kanë në territorin e tyre pika të kalimit të kufirit, funksionojnë njësitë kufitare të inspektimit shëndetësor.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12. Degët rajonale të ISHSH-së drejtohen nga kryeinspektorët rajonalë. Kryeinspektori rajonal përfaqëson degën rajonale në marrëdhënie me të tretët në nivelin e qarkut përkatës dhe është përgjegjës për organizimin, funksionimin, cilësinë dhe efektivitetin e veprimtarisë së degës së tij.</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13. Përveç sa parashikohet në pikën 13 të këtij vendimi, kryeinspektori rajonal:</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a) lëshon autorizimin e inspektimit, në përputhje dhe në bazë të programit të miratuar të inspektimit;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b) vendos për shtyrjen e kohëzgjatjes së autorizimit të inspektimit, në përputhje me legjislacionin në fuqi për inspektimin;</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c) vendos për zëvendësimin e inspektorëve, gjatë inspektimit, sipas ligjit;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ç) shqyrton ankimin e veçantë ndaj vendimeve për masat urgjente të marra nga inspektorët e degës përkatëse.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lastRenderedPageBreak/>
        <w:t>14. Kryeinspektori rajonal i raporton dhe i jep llogari drejtpërdrejt kryeinspektorit të ISHSH-së, përveç rasteve kur kryeinspektori ka përcaktuar shprehimisht, me urdhër, një njësi tjetër raportimi pranë ISHSH-së në nivel qendror.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15. Ministri përgjegjës për shëndetësinë miraton rregulloren e brendshme organizative për ushtrimin e veprimtarisë së ISHSH-së, bazuar në propozimin e kryeinspektorit të ISHSH-së.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IV. STEMA DHE VULA ZYRTARE ISHSH-së</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16. ISHSH-ja identifikohet me stemën dhe vulën zyrtare.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17. Stema e ISHSH-së përbëhet nga Stema e Republikës dhe shënimet: "Republika e Shqipërisë, Ministria e Shëndetësisë, Inspektorati Shtetëror Shëndetësor".</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18. Vula e ISHSH-së ka formën dhe elementet e përcaktuara në pikën 2 të vendimit nr. 390, datë 6.8.1993 të Këshillit të Ministrave "Për rregullat e prodhimit, administrimit, kontrollit dhe ruajtjes së vulave zyrtare", të ndryshuar". Vula e ISHSH-së në nivel qendror përmban dhe shënimin identifikues "Inspektorati Shtetëror Shëndetësor", ndërsa vulat e degëve rajonale përmbajnë dhe shënimin identifikues: "Inspektorati Shtetëror Shëndetësor, dega rajonale e qarkut (emri përkatës i qarkut )".</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19. Vula e ISHSH-së dhe vulat e degëve rajonale prodhohen, administrohen dhe ruhen në përputhje me legjislacionin në fuqi.</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V. DISPOZITA TRANSITORE DHE TË FUNDIT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20. Ngarkohet Ministri i Shëndetësisë që, brenda 1 (një) muaji nga hyrja në fuqi e këtij vendimi, të marrë masat për emërimin e kryeinspektorit të ISHSH-së dhe përgatitjen e strukturës e të organikës së ISHSH-së, në nivel qendror dhe rajonal, sipas akteve ligjore dhe nënligjore në fuqi.</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21. Kryeinspektori i ISHSH-së, mbështetur nga njësitë përgjegjëse për shërbimet mbështetëse të Ministrisë së Shëndetësisë dhe në përputhje me kërkesat specifike për arsimimin e inspektorëve, të miratuara nga Inspektorati Qendror, miraton kërkesat specifike për çdo vend pune në ISHSH.</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22. Nëpunësit që kryejnë funksionet e inspektimit të përcaktuara në pikën 2 të këtij vendimi, që janë aktualisht të emëruar në Ministrinë e Shëndetësisë, përfshirë institucionet e saj të varësisë apo drejtoritë e shëndetit publik, e që plotësojnë kërkesat e përgjithshme për pranimin në shërbimin civil, si dhe kërkesat specifike të përcaktuara sipas pikës 24 të këtij vendimi, transferohen në detyra të reja në ISHSH, brenda numrit dhe pozicioneve të organikës së miratuar sipas këtij vendimi.</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23. Brenda 3 (tre) muajve nga hyrja në fuqi e këtij vendimi, ministri përgjegjës për shëndetësinë përcakton rishpërndarjen e mjediseve dhe mjeteve të punës.</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lastRenderedPageBreak/>
        <w:t>24. ISHSH-ja fillon punën sipas organizimit dhe funksionimit të përcaktuar në këtë vendim, nga data e emërimit të kryeinspektorit dhe miratimit të urdhrit përkatës të Kryeministrit për miratimin e strukturës dhe të organikës së ISHSH-së, sipas legjislacionit në fuqi për organizimin edhe funksionimin e administratës shtetërore.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25. Çdo akt nënligjor në kundërshtim me këtë vendim, shfuqizohet.</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26. Ngarkohen Ministria e Shëndetësisë dhe Inspektorati Qendror për zbatimin e këtij vendimi.</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Ky vendim hyn në fuqi pas botimit në Fletoren Zyrtare.</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KRYEMINISTRI</w:t>
      </w:r>
    </w:p>
    <w:p w:rsidR="00C96C12" w:rsidRPr="00C44471" w:rsidRDefault="00C96C12" w:rsidP="00C96C12">
      <w:pPr>
        <w:pStyle w:val="NormalWeb"/>
        <w:rPr>
          <w:rFonts w:ascii="Verdana" w:hAnsi="Verdana"/>
          <w:color w:val="000000"/>
          <w:sz w:val="22"/>
          <w:szCs w:val="22"/>
        </w:rPr>
      </w:pPr>
      <w:r w:rsidRPr="00C44471">
        <w:rPr>
          <w:rFonts w:ascii="Verdana" w:hAnsi="Verdana"/>
          <w:color w:val="000000"/>
          <w:sz w:val="22"/>
          <w:szCs w:val="22"/>
        </w:rPr>
        <w:t>Sali Berisha</w:t>
      </w:r>
    </w:p>
    <w:p w:rsidR="00C96C12" w:rsidRPr="00C44471" w:rsidRDefault="00C96C12" w:rsidP="00C96C12">
      <w:pPr>
        <w:pStyle w:val="NormalWeb"/>
        <w:rPr>
          <w:rFonts w:ascii="Verdana" w:hAnsi="Verdana"/>
          <w:color w:val="000000"/>
          <w:sz w:val="22"/>
          <w:szCs w:val="22"/>
        </w:rPr>
      </w:pPr>
    </w:p>
    <w:p w:rsidR="00C96C12" w:rsidRPr="00C44471" w:rsidRDefault="00C96C12" w:rsidP="00C96C12">
      <w:pPr>
        <w:pStyle w:val="NormalWeb"/>
        <w:rPr>
          <w:rFonts w:ascii="Verdana" w:hAnsi="Verdana"/>
          <w:color w:val="000000"/>
          <w:sz w:val="22"/>
          <w:szCs w:val="22"/>
        </w:rPr>
      </w:pPr>
    </w:p>
    <w:p w:rsidR="00C96C12" w:rsidRPr="00C44471" w:rsidRDefault="00C96C12" w:rsidP="00C96C12">
      <w:pPr>
        <w:pStyle w:val="NormalWeb"/>
        <w:rPr>
          <w:rFonts w:ascii="Verdana" w:hAnsi="Verdana"/>
          <w:color w:val="000000"/>
          <w:sz w:val="22"/>
          <w:szCs w:val="22"/>
        </w:rPr>
      </w:pPr>
    </w:p>
    <w:p w:rsidR="00C96C12" w:rsidRPr="00C44471" w:rsidRDefault="00C96C12" w:rsidP="00C96C12">
      <w:pPr>
        <w:pStyle w:val="NormalWeb"/>
        <w:rPr>
          <w:rFonts w:ascii="Verdana" w:hAnsi="Verdana"/>
          <w:color w:val="000000"/>
          <w:sz w:val="22"/>
          <w:szCs w:val="22"/>
        </w:rPr>
      </w:pPr>
    </w:p>
    <w:p w:rsidR="008B1351" w:rsidRDefault="00C96C12">
      <w:bookmarkStart w:id="0" w:name="_GoBack"/>
      <w:bookmarkEnd w:id="0"/>
    </w:p>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DA"/>
    <w:rsid w:val="00201F7C"/>
    <w:rsid w:val="006D49DD"/>
    <w:rsid w:val="00A837DA"/>
    <w:rsid w:val="00C96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6C1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6C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1307</Words>
  <Characters>7454</Characters>
  <Application>Microsoft Office Word</Application>
  <DocSecurity>0</DocSecurity>
  <Lines>62</Lines>
  <Paragraphs>17</Paragraphs>
  <ScaleCrop>false</ScaleCrop>
  <Company>Grizli777</Company>
  <LinksUpToDate>false</LinksUpToDate>
  <CharactersWithSpaces>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2020-05-26T10:02:00Z</dcterms:created>
  <dcterms:modified xsi:type="dcterms:W3CDTF">2020-05-26T10:02:00Z</dcterms:modified>
</cp:coreProperties>
</file>